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A5BB8">
      <w:pPr>
        <w:keepNext w:val="0"/>
        <w:keepLines w:val="0"/>
        <w:pageBreakBefore w:val="0"/>
        <w:widowControl w:val="0"/>
        <w:kinsoku/>
        <w:wordWrap/>
        <w:overflowPunct/>
        <w:topLinePunct w:val="0"/>
        <w:autoSpaceDE/>
        <w:autoSpaceDN/>
        <w:bidi w:val="0"/>
        <w:adjustRightInd/>
        <w:snapToGrid/>
        <w:spacing w:afterAutospacing="0" w:line="56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14:paraId="54AFF67D">
      <w:pPr>
        <w:pStyle w:val="2"/>
        <w:spacing w:before="0" w:after="0" w:line="240" w:lineRule="auto"/>
        <w:ind w:right="0" w:firstLine="0" w:firstLineChars="0"/>
        <w:rPr>
          <w:rFonts w:hint="default" w:ascii="Times New Roman" w:hAnsi="Times New Roman" w:cs="Times New Roman"/>
          <w:lang w:val="en-US" w:eastAsia="zh-CN"/>
        </w:rPr>
      </w:pPr>
    </w:p>
    <w:p w14:paraId="467AE85B">
      <w:pPr>
        <w:pStyle w:val="9"/>
        <w:bidi w:val="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成都市新津生态环境局新津区2026年激光雷达设备运维及数据分析服务项目采购需求</w:t>
      </w:r>
    </w:p>
    <w:p w14:paraId="19E9E33D">
      <w:pPr>
        <w:pStyle w:val="9"/>
        <w:bidi w:val="0"/>
        <w:rPr>
          <w:rFonts w:hint="default" w:ascii="Times New Roman" w:hAnsi="Times New Roman" w:cs="Times New Roman"/>
          <w:lang w:val="en-US" w:eastAsia="zh-CN"/>
        </w:rPr>
      </w:pPr>
    </w:p>
    <w:p w14:paraId="4A062D0D">
      <w:pPr>
        <w:overflowPunct w:val="0"/>
        <w:topLinePunct/>
        <w:spacing w:line="240" w:lineRule="auto"/>
        <w:jc w:val="both"/>
        <w:rPr>
          <w:rFonts w:hint="default" w:ascii="Times New Roman" w:hAnsi="Times New Roman" w:eastAsia="方正小标宋简体" w:cs="Times New Roman"/>
          <w:sz w:val="22"/>
          <w:szCs w:val="22"/>
          <w:lang w:val="en-US" w:eastAsia="zh-CN"/>
        </w:rPr>
      </w:pPr>
      <w:r>
        <w:rPr>
          <w:rFonts w:hint="default" w:ascii="Times New Roman" w:hAnsi="Times New Roman" w:eastAsia="方正小标宋简体" w:cs="Times New Roman"/>
          <w:sz w:val="22"/>
          <w:szCs w:val="22"/>
          <w:lang w:val="en-US" w:eastAsia="zh-CN"/>
        </w:rPr>
        <w:t>标的名称：新津区2026年激光雷达设备运维及数据分析服务项目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800"/>
        <w:gridCol w:w="1600"/>
        <w:gridCol w:w="6032"/>
      </w:tblGrid>
      <w:tr w14:paraId="608F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14:paraId="1A62D3EC">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序号</w:t>
            </w:r>
          </w:p>
        </w:tc>
        <w:tc>
          <w:tcPr>
            <w:tcW w:w="800" w:type="dxa"/>
            <w:vAlign w:val="center"/>
          </w:tcPr>
          <w:p w14:paraId="30AB4249">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符号标识</w:t>
            </w:r>
          </w:p>
        </w:tc>
        <w:tc>
          <w:tcPr>
            <w:tcW w:w="1600" w:type="dxa"/>
            <w:vAlign w:val="center"/>
          </w:tcPr>
          <w:p w14:paraId="35C65F1C">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技术要求名称</w:t>
            </w:r>
          </w:p>
        </w:tc>
        <w:tc>
          <w:tcPr>
            <w:tcW w:w="6032" w:type="dxa"/>
            <w:vAlign w:val="center"/>
          </w:tcPr>
          <w:p w14:paraId="0A3D0EC4">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技术参数</w:t>
            </w:r>
          </w:p>
        </w:tc>
      </w:tr>
      <w:tr w14:paraId="353E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14:paraId="6174CAAF">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w:t>
            </w:r>
          </w:p>
        </w:tc>
        <w:tc>
          <w:tcPr>
            <w:tcW w:w="800" w:type="dxa"/>
            <w:vAlign w:val="center"/>
          </w:tcPr>
          <w:p w14:paraId="2C5F8B0E">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p>
        </w:tc>
        <w:tc>
          <w:tcPr>
            <w:tcW w:w="1600" w:type="dxa"/>
            <w:vAlign w:val="center"/>
          </w:tcPr>
          <w:p w14:paraId="02325AF0">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服务范围</w:t>
            </w:r>
          </w:p>
        </w:tc>
        <w:tc>
          <w:tcPr>
            <w:tcW w:w="6032" w:type="dxa"/>
            <w:vAlign w:val="center"/>
          </w:tcPr>
          <w:p w14:paraId="36F89D8F">
            <w:pPr>
              <w:overflowPunct w:val="0"/>
              <w:topLinePunct/>
              <w:spacing w:line="240" w:lineRule="auto"/>
              <w:ind w:firstLine="468" w:firstLineChars="200"/>
              <w:jc w:val="both"/>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新津区内2台激光雷达设备运维及数据分析服务</w:t>
            </w:r>
          </w:p>
        </w:tc>
      </w:tr>
      <w:tr w14:paraId="19E4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14:paraId="6B2DBC77">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w:t>
            </w:r>
          </w:p>
        </w:tc>
        <w:tc>
          <w:tcPr>
            <w:tcW w:w="800" w:type="dxa"/>
            <w:vAlign w:val="center"/>
          </w:tcPr>
          <w:p w14:paraId="5ECC902E">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p>
        </w:tc>
        <w:tc>
          <w:tcPr>
            <w:tcW w:w="1600" w:type="dxa"/>
            <w:vAlign w:val="center"/>
          </w:tcPr>
          <w:p w14:paraId="70BDEF31">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服务内容及要求</w:t>
            </w:r>
          </w:p>
        </w:tc>
        <w:tc>
          <w:tcPr>
            <w:tcW w:w="6032" w:type="dxa"/>
            <w:vAlign w:val="center"/>
          </w:tcPr>
          <w:p w14:paraId="1388BB95">
            <w:pPr>
              <w:numPr>
                <w:ilvl w:val="0"/>
                <w:numId w:val="0"/>
              </w:numPr>
              <w:overflowPunct w:val="0"/>
              <w:topLinePunct/>
              <w:spacing w:line="240" w:lineRule="auto"/>
              <w:jc w:val="both"/>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一、服务内容</w:t>
            </w:r>
          </w:p>
          <w:p w14:paraId="58E0F758">
            <w:pPr>
              <w:numPr>
                <w:ilvl w:val="0"/>
                <w:numId w:val="0"/>
              </w:numPr>
              <w:overflowPunct w:val="0"/>
              <w:topLinePunct/>
              <w:spacing w:line="240" w:lineRule="auto"/>
              <w:ind w:firstLine="468" w:firstLineChars="200"/>
              <w:jc w:val="both"/>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为了加强新津区大气污染防治设备的实用性和使用寿命，使其在大气污染防治过程中正常运行，以“科技治霾”为理念，延长所辖区域大气颗粒物立体溯源监测设备的服务期，依靠先进的大气气溶胶激光雷达在线监测溯源技术手段，长期、细致地对我区大气颗粒物污染源头“把脉问诊”、摸清大气颗粒物污染排放热点信息，提出大气污染治理的科学举措，精准治霾，最终有效的降低全区的颗粒物浓度，改善环境空气质量。</w:t>
            </w:r>
          </w:p>
          <w:p w14:paraId="47FDFE92">
            <w:pPr>
              <w:numPr>
                <w:ilvl w:val="0"/>
                <w:numId w:val="1"/>
              </w:numPr>
              <w:overflowPunct w:val="0"/>
              <w:topLinePunct/>
              <w:spacing w:line="240" w:lineRule="auto"/>
              <w:jc w:val="both"/>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服务要求</w:t>
            </w:r>
          </w:p>
          <w:p w14:paraId="21D76480">
            <w:pPr>
              <w:numPr>
                <w:ilvl w:val="0"/>
                <w:numId w:val="0"/>
              </w:numPr>
              <w:overflowPunct w:val="0"/>
              <w:topLinePunct/>
              <w:spacing w:line="240" w:lineRule="auto"/>
              <w:ind w:firstLine="444"/>
              <w:jc w:val="both"/>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具体包含运维（含维修）服务、数据分析汇报服务、现场巡查服务。</w:t>
            </w:r>
          </w:p>
          <w:p w14:paraId="0C644D87">
            <w:pPr>
              <w:numPr>
                <w:ilvl w:val="0"/>
                <w:numId w:val="1"/>
              </w:numPr>
              <w:overflowPunct w:val="0"/>
              <w:topLinePunct/>
              <w:spacing w:line="240" w:lineRule="auto"/>
              <w:ind w:left="0" w:leftChars="0" w:firstLine="0" w:firstLineChars="0"/>
              <w:jc w:val="both"/>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具体要求</w:t>
            </w:r>
          </w:p>
          <w:p w14:paraId="314DB670">
            <w:pPr>
              <w:numPr>
                <w:ilvl w:val="0"/>
                <w:numId w:val="2"/>
              </w:numPr>
              <w:overflowPunct w:val="0"/>
              <w:topLinePunct/>
              <w:spacing w:line="240" w:lineRule="auto"/>
              <w:ind w:left="555" w:leftChars="0" w:firstLine="0" w:firstLineChars="0"/>
              <w:jc w:val="both"/>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服务期限</w:t>
            </w:r>
          </w:p>
          <w:p w14:paraId="34ED8C2B">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color w:val="FF0000"/>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本项目服务期为一年，服务期内保障激光雷达设备运行效率。</w:t>
            </w:r>
          </w:p>
          <w:p w14:paraId="3A3336F7">
            <w:pPr>
              <w:numPr>
                <w:ilvl w:val="0"/>
                <w:numId w:val="2"/>
              </w:numPr>
              <w:overflowPunct w:val="0"/>
              <w:topLinePunct/>
              <w:spacing w:line="240" w:lineRule="auto"/>
              <w:ind w:left="555" w:leftChars="0" w:firstLine="0" w:firstLineChars="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运维（含维修）服务要求</w:t>
            </w:r>
          </w:p>
          <w:p w14:paraId="54C4FF36">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在服务期内做好激光雷达设备日常故障维修，确保仪器正常运行及时维护和故障维修，保证仪器正常运行以及监测和分析工作正常开展。</w:t>
            </w:r>
          </w:p>
          <w:p w14:paraId="0AE79F06">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2.1、每天对雷达进行后台查看数据质量、数据传输、工作状态并形成日查看记录表。</w:t>
            </w:r>
          </w:p>
          <w:p w14:paraId="63ED4AF6">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2.2、每周现场对雷达进行镜面窗口、激光器运行情况、工控机系统运行情况、云台、激光器电源、激光器调制、探测器电源、雷达触发器元器件维护。</w:t>
            </w:r>
          </w:p>
          <w:p w14:paraId="57B79663">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2.3、每月对雷达设备进行几何因子校正、增益调节、算法优化、光学采集卡检查维护、激光发射单元检查维护、光学接收单元维护。</w:t>
            </w:r>
          </w:p>
          <w:p w14:paraId="50272938">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2.4、每半年现场对雷达设备进行数据存储巡检、包含现场硬盘数据存储检查、后台系统平台存储检查、激光光源调试。</w:t>
            </w:r>
          </w:p>
          <w:p w14:paraId="55F21801">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3、数据分析汇报服务要求</w:t>
            </w:r>
          </w:p>
          <w:p w14:paraId="764D0490">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提供固定式大气气溶胶激光雷达数据分析报告，包括日报、月报、半年报告、年报等。</w:t>
            </w:r>
          </w:p>
          <w:p w14:paraId="72ED500F">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3.1、日常分析报告：每日激光雷达扫描热点汇总及实际人员现场排查情况结果，汇总出当日空气质量污染原因。</w:t>
            </w:r>
          </w:p>
          <w:p w14:paraId="6031215E">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3.2、月度总结报告：需每月7日前提供上一月总结报告，主要将当月发现的污染点位进行汇总，并根据点位的密集程度（即污染点位频次）划分出不同区域，可以针对各区域进行精准管控。</w:t>
            </w:r>
          </w:p>
          <w:p w14:paraId="480CAFF0">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3.3、半年总结报告：需半年结束后2周内提供上一半年分析报告，半年激光雷达运行情况、数据运营工作情况进行全面性的总结。内容需包括为激光雷达半年的运营情况；对激光雷达水平扫描发现的污染源给出总览；针对半年发现的污染点位进行不同区域的划分，并按区域进行分析；是将污染出现的频次从各时段、各街道/乡镇等不同维度进行具体分析；是总结各污染类型主要集中出现的区域，并给出管控建议。</w:t>
            </w:r>
          </w:p>
          <w:p w14:paraId="07325F80">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3.4、年度总结报告：需在服务期满后一个月内提供上一年度分析报告。全年激光雷达运行情况、数据运营工作情况进行全面性的总结。内容包括激光雷达全年的运营情况；对激光雷达水平扫描发现的污染源给出总览；针对全年发现的污染点位进行不同区域的划分，并按区域进行分析；将污染出现的频次从各时段、各街道/乡镇等不同维度进行具体分析；总结各污染类型主要集中出现的区域，并给出管控建议。</w:t>
            </w:r>
          </w:p>
          <w:p w14:paraId="24687B2A">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3.5、其他分析报告：提供其他定制化（根据需求）数据报告。</w:t>
            </w:r>
          </w:p>
          <w:p w14:paraId="2841897B">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4、现场巡查服务要求</w:t>
            </w:r>
          </w:p>
          <w:p w14:paraId="107D6B4D">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4.1、本项目配备服务团队至少包含项目负责人1名，其他服务人员3名；为保证激光雷达设备使用效率，需派2名服务人员到采购人办公地点驻场，工作日（或按工作需要时间段）对扫描区域范围开展巡查，并对扫描发现疑似问题进行现场核实</w:t>
            </w:r>
            <w:r>
              <w:rPr>
                <w:rFonts w:hint="eastAsia" w:ascii="Times New Roman" w:hAnsi="Times New Roman" w:eastAsia="方正仿宋_GBK" w:cs="Times New Roman"/>
                <w:b w:val="0"/>
                <w:bCs w:val="0"/>
                <w:sz w:val="24"/>
                <w:szCs w:val="24"/>
                <w:vertAlign w:val="baseline"/>
                <w:lang w:val="en-US" w:eastAsia="zh-CN"/>
              </w:rPr>
              <w:t>。</w:t>
            </w:r>
          </w:p>
          <w:p w14:paraId="7876D54C">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4.2、驻场服务人员的工作安排及管理应符合采购人现场管理制度的要求。</w:t>
            </w:r>
          </w:p>
          <w:p w14:paraId="305C8195">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四、质量控制</w:t>
            </w:r>
          </w:p>
          <w:p w14:paraId="64A0CC08">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1、包含对雷达数据采用安全和稳定的传输技术手段、对相关数据的存储年限以及对数据的传输加密措施。</w:t>
            </w:r>
          </w:p>
          <w:p w14:paraId="58D44BE4">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包含激光雷达电子学信号测试方案、光学系统接收后向大气瑞利散射信号的标定测试方案、光学系统对光校正及横截面均匀性测试方案、提供过渡区几何因子校正服务，具有相应的校准装置，校准原理基于气溶胶成像激光探测或其他原理。</w:t>
            </w:r>
          </w:p>
        </w:tc>
      </w:tr>
      <w:tr w14:paraId="041F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14:paraId="29B9ECB0">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w:t>
            </w:r>
          </w:p>
        </w:tc>
        <w:tc>
          <w:tcPr>
            <w:tcW w:w="800" w:type="dxa"/>
            <w:vAlign w:val="center"/>
          </w:tcPr>
          <w:p w14:paraId="71F46EFB">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p>
        </w:tc>
        <w:tc>
          <w:tcPr>
            <w:tcW w:w="1600" w:type="dxa"/>
            <w:vAlign w:val="center"/>
          </w:tcPr>
          <w:p w14:paraId="1F495A3A">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与履约相关的其他要求</w:t>
            </w:r>
          </w:p>
        </w:tc>
        <w:tc>
          <w:tcPr>
            <w:tcW w:w="6032" w:type="dxa"/>
            <w:vAlign w:val="center"/>
          </w:tcPr>
          <w:p w14:paraId="30D316B3">
            <w:pPr>
              <w:overflowPunct w:val="0"/>
              <w:topLinePunct/>
              <w:spacing w:line="240" w:lineRule="auto"/>
              <w:ind w:firstLine="468" w:firstLineChars="200"/>
              <w:jc w:val="both"/>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监测要求</w:t>
            </w:r>
          </w:p>
          <w:p w14:paraId="0DC72C6C">
            <w:pPr>
              <w:numPr>
                <w:ilvl w:val="0"/>
                <w:numId w:val="3"/>
              </w:numPr>
              <w:overflowPunct w:val="0"/>
              <w:topLinePunct/>
              <w:spacing w:line="240" w:lineRule="auto"/>
              <w:ind w:firstLine="468" w:firstLineChars="200"/>
              <w:jc w:val="both"/>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供应商须为本项目提供2名服务人员到业主单位驻点办公，工作日（或按工作需要时间段）对扫描区域范围开展巡查，并对扫描发现疑似问题进行现场核实。供应商须全面负责驻场人员的薪酬福利、差旅费用</w:t>
            </w:r>
            <w:r>
              <w:rPr>
                <w:rFonts w:hint="eastAsia" w:ascii="Times New Roman" w:hAnsi="Times New Roman" w:eastAsia="方正仿宋_GBK" w:cs="Times New Roman"/>
                <w:sz w:val="24"/>
                <w:szCs w:val="24"/>
                <w:vertAlign w:val="baseline"/>
                <w:lang w:val="en-US" w:eastAsia="zh-CN"/>
              </w:rPr>
              <w:t>（现场巡查的交通费）</w:t>
            </w:r>
            <w:r>
              <w:rPr>
                <w:rFonts w:hint="default" w:ascii="Times New Roman" w:hAnsi="Times New Roman" w:eastAsia="方正仿宋_GBK" w:cs="Times New Roman"/>
                <w:sz w:val="24"/>
                <w:szCs w:val="24"/>
                <w:vertAlign w:val="baseline"/>
                <w:lang w:val="en-US" w:eastAsia="zh-CN"/>
              </w:rPr>
              <w:t>及人身安全保障，确保驻场服务顺利实施。驻场人员的工作安排及管理应符合采购人的现场管理制度要求。</w:t>
            </w:r>
          </w:p>
          <w:p w14:paraId="597B977D">
            <w:pPr>
              <w:numPr>
                <w:ilvl w:val="0"/>
                <w:numId w:val="3"/>
              </w:numPr>
              <w:overflowPunct w:val="0"/>
              <w:topLinePunct/>
              <w:spacing w:line="240" w:lineRule="auto"/>
              <w:ind w:firstLine="468" w:firstLineChars="200"/>
              <w:jc w:val="both"/>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履约能力：供应商具有2023年以来激光雷达运维数据服务相关业绩。</w:t>
            </w:r>
          </w:p>
          <w:p w14:paraId="41441010">
            <w:pPr>
              <w:numPr>
                <w:ilvl w:val="0"/>
                <w:numId w:val="3"/>
              </w:numPr>
              <w:overflowPunct w:val="0"/>
              <w:topLinePunct/>
              <w:spacing w:line="240" w:lineRule="auto"/>
              <w:ind w:firstLine="468" w:firstLineChars="200"/>
              <w:jc w:val="both"/>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质量保证：成交供应商应在保证服务期和服务质量的前提下为采购人提供服务，服务中的一切风险（包括人员安全事故责任、与第三方的劳务纠纷、项目实施过程中的劳务纠纷及人员伤害等）均由成交供应商独自承担责任。</w:t>
            </w:r>
          </w:p>
        </w:tc>
      </w:tr>
      <w:tr w14:paraId="658B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14:paraId="7B826F88">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w:t>
            </w:r>
          </w:p>
        </w:tc>
        <w:tc>
          <w:tcPr>
            <w:tcW w:w="800" w:type="dxa"/>
            <w:vAlign w:val="center"/>
          </w:tcPr>
          <w:p w14:paraId="7C33085B">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p>
        </w:tc>
        <w:tc>
          <w:tcPr>
            <w:tcW w:w="1600" w:type="dxa"/>
            <w:vAlign w:val="center"/>
          </w:tcPr>
          <w:p w14:paraId="4133F006">
            <w:pPr>
              <w:overflowPunct w:val="0"/>
              <w:topLinePunct/>
              <w:spacing w:line="240" w:lineRule="auto"/>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商务要求</w:t>
            </w:r>
          </w:p>
        </w:tc>
        <w:tc>
          <w:tcPr>
            <w:tcW w:w="6032" w:type="dxa"/>
            <w:vAlign w:val="center"/>
          </w:tcPr>
          <w:p w14:paraId="5D3B52E7">
            <w:pPr>
              <w:numPr>
                <w:ilvl w:val="0"/>
                <w:numId w:val="4"/>
              </w:numPr>
              <w:overflowPunct w:val="0"/>
              <w:topLinePunct/>
              <w:spacing w:line="240" w:lineRule="auto"/>
              <w:ind w:left="503" w:leftChars="0" w:firstLine="0" w:firstLineChars="0"/>
              <w:jc w:val="both"/>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服务地点：成都市新津区。</w:t>
            </w:r>
          </w:p>
          <w:p w14:paraId="6C2126BB">
            <w:pPr>
              <w:numPr>
                <w:ilvl w:val="0"/>
                <w:numId w:val="4"/>
              </w:numPr>
              <w:overflowPunct w:val="0"/>
              <w:topLinePunct/>
              <w:spacing w:line="240" w:lineRule="auto"/>
              <w:ind w:left="503" w:leftChars="0" w:firstLine="0" w:firstLineChars="0"/>
              <w:jc w:val="both"/>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服务期限：一年</w:t>
            </w:r>
          </w:p>
          <w:p w14:paraId="7E8B9107">
            <w:pPr>
              <w:numPr>
                <w:ilvl w:val="0"/>
                <w:numId w:val="4"/>
              </w:numPr>
              <w:overflowPunct w:val="0"/>
              <w:topLinePunct/>
              <w:spacing w:line="240" w:lineRule="auto"/>
              <w:ind w:left="503" w:leftChars="0" w:firstLine="0" w:firstLineChars="0"/>
              <w:jc w:val="both"/>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付款方式：</w:t>
            </w:r>
          </w:p>
          <w:p w14:paraId="5A428D0B">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（1）</w:t>
            </w:r>
            <w:r>
              <w:rPr>
                <w:rFonts w:hint="eastAsia" w:ascii="Times New Roman" w:hAnsi="Times New Roman" w:eastAsia="方正仿宋_GBK" w:cs="Times New Roman"/>
                <w:b w:val="0"/>
                <w:bCs w:val="0"/>
                <w:sz w:val="24"/>
                <w:szCs w:val="24"/>
                <w:vertAlign w:val="baseline"/>
                <w:lang w:val="en-US" w:eastAsia="zh-CN"/>
              </w:rPr>
              <w:t>提供服务6个月</w:t>
            </w:r>
            <w:r>
              <w:rPr>
                <w:rFonts w:hint="default" w:ascii="Times New Roman" w:hAnsi="Times New Roman" w:eastAsia="方正仿宋_GBK" w:cs="Times New Roman"/>
                <w:b w:val="0"/>
                <w:bCs w:val="0"/>
                <w:sz w:val="24"/>
                <w:szCs w:val="24"/>
                <w:vertAlign w:val="baseline"/>
                <w:lang w:val="en-US" w:eastAsia="zh-CN"/>
              </w:rPr>
              <w:t>后，经采购人考核合格且验收合格后</w:t>
            </w: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采购人在收到供应商开具的有效税务发票后10个工作日内支付合同金额的50%（如有</w:t>
            </w:r>
            <w:r>
              <w:rPr>
                <w:rFonts w:hint="eastAsia" w:ascii="Times New Roman" w:hAnsi="Times New Roman" w:eastAsia="方正仿宋_GBK" w:cs="Times New Roman"/>
                <w:b w:val="0"/>
                <w:bCs w:val="0"/>
                <w:sz w:val="24"/>
                <w:szCs w:val="24"/>
                <w:vertAlign w:val="baseline"/>
                <w:lang w:val="en-US" w:eastAsia="zh-CN"/>
              </w:rPr>
              <w:t>扣</w:t>
            </w:r>
            <w:r>
              <w:rPr>
                <w:rFonts w:hint="default" w:ascii="Times New Roman" w:hAnsi="Times New Roman" w:eastAsia="方正仿宋_GBK" w:cs="Times New Roman"/>
                <w:b w:val="0"/>
                <w:bCs w:val="0"/>
                <w:sz w:val="24"/>
                <w:szCs w:val="24"/>
                <w:vertAlign w:val="baseline"/>
                <w:lang w:val="en-US" w:eastAsia="zh-CN"/>
              </w:rPr>
              <w:t>款采购人将在付款时扣除），达到付款条件起10日内，支付合同总金额的50.00%</w:t>
            </w:r>
          </w:p>
          <w:p w14:paraId="4CAD719C">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（2）服务完成经采购人考核合格且验收合格后，采购人在收到供应商开具的有效税务发票后10个工作日内支付合同金额的50%（如有</w:t>
            </w:r>
            <w:r>
              <w:rPr>
                <w:rFonts w:hint="eastAsia" w:ascii="Times New Roman" w:hAnsi="Times New Roman" w:eastAsia="方正仿宋_GBK" w:cs="Times New Roman"/>
                <w:b w:val="0"/>
                <w:bCs w:val="0"/>
                <w:sz w:val="24"/>
                <w:szCs w:val="24"/>
                <w:vertAlign w:val="baseline"/>
                <w:lang w:val="en-US" w:eastAsia="zh-CN"/>
              </w:rPr>
              <w:t>扣</w:t>
            </w:r>
            <w:r>
              <w:rPr>
                <w:rFonts w:hint="default" w:ascii="Times New Roman" w:hAnsi="Times New Roman" w:eastAsia="方正仿宋_GBK" w:cs="Times New Roman"/>
                <w:b w:val="0"/>
                <w:bCs w:val="0"/>
                <w:sz w:val="24"/>
                <w:szCs w:val="24"/>
                <w:vertAlign w:val="baseline"/>
                <w:lang w:val="en-US" w:eastAsia="zh-CN"/>
              </w:rPr>
              <w:t>款采购人将在付款时扣除）。（注：若供应商未及时提交增值税发票，采购人付款时间顺延且对此不承担任何责任），达到付款条件起10日内，支付当年合同总金额的50.00%。</w:t>
            </w:r>
          </w:p>
          <w:p w14:paraId="55CC3A89">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4、验收、交付标准和方法：按照《财政部关于进一步加强政府采购需求和履约验收管理的指导意见》(财库〔2016〕205号)、采购文件要求、成交供应商的响应文件及承诺、签订的合同以及验收所必须具备的其他材料进行验收。</w:t>
            </w:r>
          </w:p>
          <w:p w14:paraId="2EFCBC14">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5、考核办法</w:t>
            </w:r>
          </w:p>
          <w:p w14:paraId="3C61AF03">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（1）考核周期：</w:t>
            </w:r>
            <w:r>
              <w:rPr>
                <w:rFonts w:hint="eastAsia" w:ascii="Times New Roman" w:hAnsi="Times New Roman" w:eastAsia="方正仿宋_GBK" w:cs="Times New Roman"/>
                <w:b w:val="0"/>
                <w:bCs w:val="0"/>
                <w:color w:val="auto"/>
                <w:sz w:val="24"/>
                <w:szCs w:val="24"/>
                <w:vertAlign w:val="baseline"/>
                <w:lang w:val="en-US" w:eastAsia="zh-CN"/>
              </w:rPr>
              <w:t>提供服务6个月后及</w:t>
            </w:r>
            <w:r>
              <w:rPr>
                <w:rFonts w:hint="default" w:ascii="Times New Roman" w:hAnsi="Times New Roman" w:eastAsia="方正仿宋_GBK" w:cs="Times New Roman"/>
                <w:b w:val="0"/>
                <w:bCs w:val="0"/>
                <w:color w:val="auto"/>
                <w:sz w:val="24"/>
                <w:szCs w:val="24"/>
                <w:vertAlign w:val="baseline"/>
                <w:lang w:val="en-US" w:eastAsia="zh-CN"/>
              </w:rPr>
              <w:t>服务期满，采购人将对供应商进行考核。</w:t>
            </w:r>
          </w:p>
          <w:p w14:paraId="76BC0B40">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（2）考核小组成员：采购人单位三名职工共同监管考评。</w:t>
            </w:r>
          </w:p>
          <w:p w14:paraId="165BEC68">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（3）成交供应商考核得分90分(含)以上，视为考核合格；考核得分80(含)至90分(不含)，</w:t>
            </w:r>
            <w:r>
              <w:rPr>
                <w:rFonts w:hint="eastAsia" w:ascii="Times New Roman" w:hAnsi="Times New Roman" w:eastAsia="方正仿宋_GBK" w:cs="Times New Roman"/>
                <w:b w:val="0"/>
                <w:bCs w:val="0"/>
                <w:color w:val="auto"/>
                <w:sz w:val="24"/>
                <w:szCs w:val="24"/>
                <w:vertAlign w:val="baseline"/>
                <w:lang w:val="en-US" w:eastAsia="zh-CN"/>
              </w:rPr>
              <w:t>扣</w:t>
            </w:r>
            <w:r>
              <w:rPr>
                <w:rFonts w:hint="default" w:ascii="Times New Roman" w:hAnsi="Times New Roman" w:eastAsia="方正仿宋_GBK" w:cs="Times New Roman"/>
                <w:b w:val="0"/>
                <w:bCs w:val="0"/>
                <w:color w:val="auto"/>
                <w:sz w:val="24"/>
                <w:szCs w:val="24"/>
                <w:vertAlign w:val="baseline"/>
                <w:lang w:val="en-US" w:eastAsia="zh-CN"/>
              </w:rPr>
              <w:t>款5000元；考核得分80分(不含)以下，视为考核不合格，</w:t>
            </w:r>
            <w:r>
              <w:rPr>
                <w:rFonts w:hint="eastAsia" w:ascii="Times New Roman" w:hAnsi="Times New Roman" w:eastAsia="方正仿宋_GBK" w:cs="Times New Roman"/>
                <w:b w:val="0"/>
                <w:bCs w:val="0"/>
                <w:color w:val="auto"/>
                <w:sz w:val="24"/>
                <w:szCs w:val="24"/>
                <w:vertAlign w:val="baseline"/>
                <w:lang w:val="en-US" w:eastAsia="zh-CN"/>
              </w:rPr>
              <w:t>扣</w:t>
            </w:r>
            <w:r>
              <w:rPr>
                <w:rFonts w:hint="default" w:ascii="Times New Roman" w:hAnsi="Times New Roman" w:eastAsia="方正仿宋_GBK" w:cs="Times New Roman"/>
                <w:b w:val="0"/>
                <w:bCs w:val="0"/>
                <w:color w:val="auto"/>
                <w:sz w:val="24"/>
                <w:szCs w:val="24"/>
                <w:vertAlign w:val="baseline"/>
                <w:lang w:val="en-US" w:eastAsia="zh-CN"/>
              </w:rPr>
              <w:t>款10000元，并限期整改，若整改效果达不到采购人要求的，采购人有权要求成交供应商承担违约和赔偿责任。</w:t>
            </w:r>
          </w:p>
          <w:p w14:paraId="2454D613">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（4）若产生</w:t>
            </w:r>
            <w:r>
              <w:rPr>
                <w:rFonts w:hint="eastAsia" w:ascii="Times New Roman" w:hAnsi="Times New Roman" w:eastAsia="方正仿宋_GBK" w:cs="Times New Roman"/>
                <w:b w:val="0"/>
                <w:bCs w:val="0"/>
                <w:color w:val="auto"/>
                <w:sz w:val="24"/>
                <w:szCs w:val="24"/>
                <w:vertAlign w:val="baseline"/>
                <w:lang w:val="en-US" w:eastAsia="zh-CN"/>
              </w:rPr>
              <w:t>扣</w:t>
            </w:r>
            <w:r>
              <w:rPr>
                <w:rFonts w:hint="default" w:ascii="Times New Roman" w:hAnsi="Times New Roman" w:eastAsia="方正仿宋_GBK" w:cs="Times New Roman"/>
                <w:b w:val="0"/>
                <w:bCs w:val="0"/>
                <w:color w:val="auto"/>
                <w:sz w:val="24"/>
                <w:szCs w:val="24"/>
                <w:vertAlign w:val="baseline"/>
                <w:lang w:val="en-US" w:eastAsia="zh-CN"/>
              </w:rPr>
              <w:t>款，将在采购人与供应商</w:t>
            </w:r>
            <w:r>
              <w:rPr>
                <w:rFonts w:hint="eastAsia" w:ascii="Times New Roman" w:hAnsi="Times New Roman" w:eastAsia="方正仿宋_GBK" w:cs="Times New Roman"/>
                <w:b w:val="0"/>
                <w:bCs w:val="0"/>
                <w:color w:val="auto"/>
                <w:sz w:val="24"/>
                <w:szCs w:val="24"/>
                <w:vertAlign w:val="baseline"/>
                <w:lang w:val="en-US" w:eastAsia="zh-CN"/>
              </w:rPr>
              <w:t>验收</w:t>
            </w:r>
            <w:r>
              <w:rPr>
                <w:rFonts w:hint="default" w:ascii="Times New Roman" w:hAnsi="Times New Roman" w:eastAsia="方正仿宋_GBK" w:cs="Times New Roman"/>
                <w:b w:val="0"/>
                <w:bCs w:val="0"/>
                <w:color w:val="auto"/>
                <w:sz w:val="24"/>
                <w:szCs w:val="24"/>
                <w:vertAlign w:val="baseline"/>
                <w:lang w:val="en-US" w:eastAsia="zh-CN"/>
              </w:rPr>
              <w:t>结算时扣除。</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7"/>
              <w:gridCol w:w="3815"/>
              <w:gridCol w:w="753"/>
              <w:gridCol w:w="753"/>
            </w:tblGrid>
            <w:tr w14:paraId="334E9B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5C99E1">
                  <w:pPr>
                    <w:pStyle w:val="10"/>
                    <w:jc w:val="both"/>
                    <w:rPr>
                      <w:rFonts w:hint="default" w:ascii="Times New Roman" w:hAnsi="Times New Roman" w:cs="Times New Roman"/>
                    </w:rPr>
                  </w:pPr>
                  <w:r>
                    <w:rPr>
                      <w:rFonts w:hint="default" w:ascii="Times New Roman" w:hAnsi="Times New Roman" w:eastAsia="仿宋_GB2312" w:cs="Times New Roman"/>
                      <w:b/>
                      <w:sz w:val="21"/>
                    </w:rPr>
                    <w:t>序号</w:t>
                  </w:r>
                </w:p>
              </w:tc>
              <w:tc>
                <w:tcPr>
                  <w:tcW w:w="38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04093D">
                  <w:pPr>
                    <w:pStyle w:val="10"/>
                    <w:jc w:val="center"/>
                    <w:rPr>
                      <w:rFonts w:hint="default" w:ascii="Times New Roman" w:hAnsi="Times New Roman" w:cs="Times New Roman"/>
                    </w:rPr>
                  </w:pPr>
                  <w:r>
                    <w:rPr>
                      <w:rFonts w:hint="default" w:ascii="Times New Roman" w:hAnsi="Times New Roman" w:eastAsia="仿宋_GB2312" w:cs="Times New Roman"/>
                      <w:b/>
                      <w:sz w:val="21"/>
                    </w:rPr>
                    <w:t>考核内容及细则</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78FC7B">
                  <w:pPr>
                    <w:pStyle w:val="10"/>
                    <w:jc w:val="center"/>
                    <w:rPr>
                      <w:rFonts w:hint="default" w:ascii="Times New Roman" w:hAnsi="Times New Roman" w:cs="Times New Roman"/>
                    </w:rPr>
                  </w:pPr>
                  <w:r>
                    <w:rPr>
                      <w:rFonts w:hint="default" w:ascii="Times New Roman" w:hAnsi="Times New Roman" w:eastAsia="仿宋_GB2312" w:cs="Times New Roman"/>
                      <w:b/>
                      <w:sz w:val="21"/>
                    </w:rPr>
                    <w:t>评分标准</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2FA4FC">
                  <w:pPr>
                    <w:pStyle w:val="10"/>
                    <w:jc w:val="center"/>
                    <w:rPr>
                      <w:rFonts w:hint="default" w:ascii="Times New Roman" w:hAnsi="Times New Roman" w:cs="Times New Roman"/>
                    </w:rPr>
                  </w:pPr>
                  <w:r>
                    <w:rPr>
                      <w:rFonts w:hint="default" w:ascii="Times New Roman" w:hAnsi="Times New Roman" w:eastAsia="仿宋_GB2312" w:cs="Times New Roman"/>
                      <w:b/>
                      <w:sz w:val="21"/>
                    </w:rPr>
                    <w:t>扣分值</w:t>
                  </w:r>
                </w:p>
              </w:tc>
            </w:tr>
            <w:tr w14:paraId="1A1957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EB576">
                  <w:pPr>
                    <w:pStyle w:val="10"/>
                    <w:jc w:val="center"/>
                    <w:rPr>
                      <w:rFonts w:hint="default" w:ascii="Times New Roman" w:hAnsi="Times New Roman" w:cs="Times New Roman"/>
                    </w:rPr>
                  </w:pPr>
                  <w:r>
                    <w:rPr>
                      <w:rFonts w:hint="default" w:ascii="Times New Roman" w:hAnsi="Times New Roman" w:eastAsia="仿宋_GB2312" w:cs="Times New Roman"/>
                      <w:sz w:val="21"/>
                    </w:rPr>
                    <w:t>1</w:t>
                  </w:r>
                </w:p>
              </w:tc>
              <w:tc>
                <w:tcPr>
                  <w:tcW w:w="3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3B59B2">
                  <w:pPr>
                    <w:pStyle w:val="10"/>
                    <w:jc w:val="both"/>
                    <w:rPr>
                      <w:rFonts w:hint="default" w:ascii="Times New Roman" w:hAnsi="Times New Roman" w:cs="Times New Roman"/>
                    </w:rPr>
                  </w:pPr>
                  <w:r>
                    <w:rPr>
                      <w:rFonts w:hint="default" w:ascii="Times New Roman" w:hAnsi="Times New Roman" w:eastAsia="仿宋_GB2312" w:cs="Times New Roman"/>
                      <w:sz w:val="21"/>
                    </w:rPr>
                    <w:t>正常运行率≥90%。</w:t>
                  </w:r>
                </w:p>
                <w:p w14:paraId="47FFF488">
                  <w:pPr>
                    <w:pStyle w:val="10"/>
                    <w:jc w:val="both"/>
                    <w:rPr>
                      <w:rFonts w:hint="default" w:ascii="Times New Roman" w:hAnsi="Times New Roman" w:cs="Times New Roman"/>
                    </w:rPr>
                  </w:pPr>
                  <w:r>
                    <w:rPr>
                      <w:rFonts w:hint="default" w:ascii="Times New Roman" w:hAnsi="Times New Roman" w:eastAsia="仿宋_GB2312" w:cs="Times New Roman"/>
                      <w:sz w:val="21"/>
                    </w:rPr>
                    <w:t>计算方法：以天作为统计基准，每天数据获取率≥20h则当日为有效，全年按照365天计算</w:t>
                  </w:r>
                  <w:r>
                    <w:rPr>
                      <w:rFonts w:hint="eastAsia" w:ascii="Times New Roman" w:hAnsi="Times New Roman" w:eastAsia="仿宋_GB2312" w:cs="Times New Roman"/>
                      <w:sz w:val="21"/>
                      <w:lang w:eastAsia="zh-CN"/>
                    </w:rPr>
                    <w:t>（半年按</w:t>
                  </w:r>
                  <w:r>
                    <w:rPr>
                      <w:rFonts w:hint="eastAsia" w:ascii="Times New Roman" w:hAnsi="Times New Roman" w:eastAsia="仿宋_GB2312" w:cs="Times New Roman"/>
                      <w:sz w:val="21"/>
                      <w:lang w:val="en-US" w:eastAsia="zh-CN"/>
                    </w:rPr>
                    <w:t>183天算</w:t>
                  </w:r>
                  <w:r>
                    <w:rPr>
                      <w:rFonts w:hint="eastAsia" w:ascii="Times New Roman" w:hAnsi="Times New Roman" w:eastAsia="仿宋_GB2312" w:cs="Times New Roman"/>
                      <w:sz w:val="21"/>
                      <w:lang w:eastAsia="zh-CN"/>
                    </w:rPr>
                    <w:t>）</w:t>
                  </w:r>
                  <w:r>
                    <w:rPr>
                      <w:rFonts w:hint="default" w:ascii="Times New Roman" w:hAnsi="Times New Roman" w:eastAsia="仿宋_GB2312" w:cs="Times New Roman"/>
                      <w:sz w:val="21"/>
                    </w:rPr>
                    <w:t>，累计有效天数除以天数。及时维护设备并做好故障维修，保证仪器正常运行以及监测和分析工作正常开展。</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95707D">
                  <w:pPr>
                    <w:pStyle w:val="10"/>
                    <w:jc w:val="both"/>
                    <w:rPr>
                      <w:rFonts w:hint="default" w:ascii="Times New Roman" w:hAnsi="Times New Roman" w:cs="Times New Roman"/>
                    </w:rPr>
                  </w:pPr>
                  <w:r>
                    <w:rPr>
                      <w:rFonts w:hint="default" w:ascii="Times New Roman" w:hAnsi="Times New Roman" w:eastAsia="仿宋_GB2312" w:cs="Times New Roman"/>
                      <w:sz w:val="21"/>
                    </w:rPr>
                    <w:t>每低1%扣1分，扣完为止。</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54D9A">
                  <w:pPr>
                    <w:pStyle w:val="10"/>
                    <w:jc w:val="both"/>
                    <w:rPr>
                      <w:rFonts w:hint="default" w:ascii="Times New Roman" w:hAnsi="Times New Roman" w:cs="Times New Roman"/>
                    </w:rPr>
                  </w:pPr>
                </w:p>
              </w:tc>
            </w:tr>
            <w:tr w14:paraId="45EDE4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139F0">
                  <w:pPr>
                    <w:pStyle w:val="10"/>
                    <w:jc w:val="center"/>
                    <w:rPr>
                      <w:rFonts w:hint="default" w:ascii="Times New Roman" w:hAnsi="Times New Roman" w:cs="Times New Roman"/>
                    </w:rPr>
                  </w:pPr>
                  <w:r>
                    <w:rPr>
                      <w:rFonts w:hint="default" w:ascii="Times New Roman" w:hAnsi="Times New Roman" w:eastAsia="仿宋_GB2312" w:cs="Times New Roman"/>
                      <w:sz w:val="21"/>
                    </w:rPr>
                    <w:t>2</w:t>
                  </w:r>
                </w:p>
              </w:tc>
              <w:tc>
                <w:tcPr>
                  <w:tcW w:w="3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3F0735">
                  <w:pPr>
                    <w:pStyle w:val="10"/>
                    <w:jc w:val="both"/>
                    <w:rPr>
                      <w:rFonts w:hint="default" w:ascii="Times New Roman" w:hAnsi="Times New Roman" w:cs="Times New Roman"/>
                    </w:rPr>
                  </w:pPr>
                  <w:r>
                    <w:rPr>
                      <w:rFonts w:hint="default" w:ascii="Times New Roman" w:hAnsi="Times New Roman" w:eastAsia="仿宋_GB2312" w:cs="Times New Roman"/>
                      <w:sz w:val="21"/>
                    </w:rPr>
                    <w:t>数据有效捕获率≥90%</w:t>
                  </w:r>
                </w:p>
                <w:p w14:paraId="7444C4A8">
                  <w:pPr>
                    <w:pStyle w:val="10"/>
                    <w:jc w:val="both"/>
                    <w:rPr>
                      <w:rFonts w:hint="default" w:ascii="Times New Roman" w:hAnsi="Times New Roman" w:cs="Times New Roman"/>
                    </w:rPr>
                  </w:pPr>
                  <w:r>
                    <w:rPr>
                      <w:rFonts w:hint="default" w:ascii="Times New Roman" w:hAnsi="Times New Roman" w:eastAsia="仿宋_GB2312" w:cs="Times New Roman"/>
                      <w:sz w:val="21"/>
                    </w:rPr>
                    <w:t>计算方法：以小时作为统计计算基准，累计获取有效数据重污染过程小时数；</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F0ED2">
                  <w:pPr>
                    <w:pStyle w:val="10"/>
                    <w:jc w:val="both"/>
                    <w:rPr>
                      <w:rFonts w:hint="default" w:ascii="Times New Roman" w:hAnsi="Times New Roman" w:cs="Times New Roman"/>
                    </w:rPr>
                  </w:pPr>
                  <w:r>
                    <w:rPr>
                      <w:rFonts w:hint="default" w:ascii="Times New Roman" w:hAnsi="Times New Roman" w:eastAsia="仿宋_GB2312" w:cs="Times New Roman"/>
                      <w:sz w:val="21"/>
                    </w:rPr>
                    <w:t>每低1%扣1分，扣完为止。</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F6E34">
                  <w:pPr>
                    <w:pStyle w:val="10"/>
                    <w:jc w:val="both"/>
                    <w:rPr>
                      <w:rFonts w:hint="default" w:ascii="Times New Roman" w:hAnsi="Times New Roman" w:cs="Times New Roman"/>
                    </w:rPr>
                  </w:pPr>
                </w:p>
              </w:tc>
            </w:tr>
            <w:tr w14:paraId="7D1D52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7C50E">
                  <w:pPr>
                    <w:pStyle w:val="10"/>
                    <w:jc w:val="center"/>
                    <w:rPr>
                      <w:rFonts w:hint="default" w:ascii="Times New Roman" w:hAnsi="Times New Roman" w:cs="Times New Roman"/>
                    </w:rPr>
                  </w:pPr>
                  <w:r>
                    <w:rPr>
                      <w:rFonts w:hint="default" w:ascii="Times New Roman" w:hAnsi="Times New Roman" w:eastAsia="仿宋_GB2312" w:cs="Times New Roman"/>
                      <w:sz w:val="21"/>
                    </w:rPr>
                    <w:t>3</w:t>
                  </w:r>
                </w:p>
              </w:tc>
              <w:tc>
                <w:tcPr>
                  <w:tcW w:w="3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693A5">
                  <w:pPr>
                    <w:pStyle w:val="10"/>
                    <w:jc w:val="both"/>
                    <w:rPr>
                      <w:rFonts w:hint="default" w:ascii="Times New Roman" w:hAnsi="Times New Roman" w:cs="Times New Roman"/>
                    </w:rPr>
                  </w:pPr>
                  <w:r>
                    <w:rPr>
                      <w:rFonts w:hint="default" w:ascii="Times New Roman" w:hAnsi="Times New Roman" w:eastAsia="仿宋_GB2312" w:cs="Times New Roman"/>
                      <w:sz w:val="21"/>
                    </w:rPr>
                    <w:t>日常质控措施执行率≥95%；</w:t>
                  </w:r>
                </w:p>
                <w:p w14:paraId="7A2FF5A3">
                  <w:pPr>
                    <w:pStyle w:val="10"/>
                    <w:jc w:val="both"/>
                    <w:rPr>
                      <w:rFonts w:hint="default" w:ascii="Times New Roman" w:hAnsi="Times New Roman" w:cs="Times New Roman"/>
                    </w:rPr>
                  </w:pPr>
                  <w:r>
                    <w:rPr>
                      <w:rFonts w:hint="default" w:ascii="Times New Roman" w:hAnsi="Times New Roman" w:eastAsia="仿宋_GB2312" w:cs="Times New Roman"/>
                      <w:sz w:val="21"/>
                    </w:rPr>
                    <w:t>计算方法：按照设备日常维护要求，对于激光雷达设备每月日常维护次数2次，</w:t>
                  </w:r>
                  <w:r>
                    <w:rPr>
                      <w:rFonts w:hint="eastAsia" w:ascii="Times New Roman" w:hAnsi="Times New Roman" w:eastAsia="仿宋_GB2312" w:cs="Times New Roman"/>
                      <w:sz w:val="21"/>
                      <w:lang w:val="en-US" w:eastAsia="zh-CN"/>
                    </w:rPr>
                    <w:t>6个月/</w:t>
                  </w:r>
                  <w:r>
                    <w:rPr>
                      <w:rFonts w:hint="default" w:ascii="Times New Roman" w:hAnsi="Times New Roman" w:eastAsia="仿宋_GB2312" w:cs="Times New Roman"/>
                      <w:sz w:val="21"/>
                    </w:rPr>
                    <w:t>全年累计实际执行维护次数除以应维护次数；</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F7B5F">
                  <w:pPr>
                    <w:pStyle w:val="10"/>
                    <w:jc w:val="both"/>
                    <w:rPr>
                      <w:rFonts w:hint="default" w:ascii="Times New Roman" w:hAnsi="Times New Roman" w:cs="Times New Roman"/>
                    </w:rPr>
                  </w:pPr>
                  <w:r>
                    <w:rPr>
                      <w:rFonts w:hint="default" w:ascii="Times New Roman" w:hAnsi="Times New Roman" w:eastAsia="仿宋_GB2312" w:cs="Times New Roman"/>
                      <w:sz w:val="21"/>
                    </w:rPr>
                    <w:t>每低1%扣1分，扣完为止。</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98961">
                  <w:pPr>
                    <w:pStyle w:val="10"/>
                    <w:jc w:val="both"/>
                    <w:rPr>
                      <w:rFonts w:hint="default" w:ascii="Times New Roman" w:hAnsi="Times New Roman" w:cs="Times New Roman"/>
                    </w:rPr>
                  </w:pPr>
                </w:p>
              </w:tc>
            </w:tr>
            <w:tr w14:paraId="13DE7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64BF7">
                  <w:pPr>
                    <w:pStyle w:val="10"/>
                    <w:jc w:val="center"/>
                    <w:rPr>
                      <w:rFonts w:hint="default" w:ascii="Times New Roman" w:hAnsi="Times New Roman" w:cs="Times New Roman"/>
                    </w:rPr>
                  </w:pPr>
                  <w:r>
                    <w:rPr>
                      <w:rFonts w:hint="default" w:ascii="Times New Roman" w:hAnsi="Times New Roman" w:eastAsia="仿宋_GB2312" w:cs="Times New Roman"/>
                      <w:sz w:val="21"/>
                    </w:rPr>
                    <w:t>4</w:t>
                  </w:r>
                </w:p>
              </w:tc>
              <w:tc>
                <w:tcPr>
                  <w:tcW w:w="3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D1679">
                  <w:pPr>
                    <w:pStyle w:val="10"/>
                    <w:jc w:val="both"/>
                    <w:rPr>
                      <w:rFonts w:hint="default" w:ascii="Times New Roman" w:hAnsi="Times New Roman" w:cs="Times New Roman"/>
                    </w:rPr>
                  </w:pPr>
                  <w:r>
                    <w:rPr>
                      <w:rFonts w:hint="default" w:ascii="Times New Roman" w:hAnsi="Times New Roman" w:eastAsia="仿宋_GB2312" w:cs="Times New Roman"/>
                      <w:sz w:val="21"/>
                    </w:rPr>
                    <w:t>异常情况处理率达到≥95%。</w:t>
                  </w:r>
                </w:p>
                <w:p w14:paraId="2A1AFAAD">
                  <w:pPr>
                    <w:pStyle w:val="10"/>
                    <w:jc w:val="both"/>
                    <w:rPr>
                      <w:rFonts w:hint="default" w:ascii="Times New Roman" w:hAnsi="Times New Roman" w:cs="Times New Roman"/>
                    </w:rPr>
                  </w:pPr>
                  <w:r>
                    <w:rPr>
                      <w:rFonts w:hint="default" w:ascii="Times New Roman" w:hAnsi="Times New Roman" w:eastAsia="仿宋_GB2312" w:cs="Times New Roman"/>
                      <w:sz w:val="21"/>
                    </w:rPr>
                    <w:t>计算方法：</w:t>
                  </w:r>
                  <w:r>
                    <w:rPr>
                      <w:rFonts w:hint="eastAsia" w:ascii="Times New Roman" w:hAnsi="Times New Roman" w:eastAsia="仿宋_GB2312" w:cs="Times New Roman"/>
                      <w:sz w:val="21"/>
                      <w:lang w:val="en-US" w:eastAsia="zh-CN"/>
                    </w:rPr>
                    <w:t>6个月/</w:t>
                  </w:r>
                  <w:r>
                    <w:rPr>
                      <w:rFonts w:hint="default" w:ascii="Times New Roman" w:hAnsi="Times New Roman" w:eastAsia="仿宋_GB2312" w:cs="Times New Roman"/>
                      <w:sz w:val="21"/>
                    </w:rPr>
                    <w:t>全年处理解决的异常情况数量除以累计异常情况数量。</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E74862">
                  <w:pPr>
                    <w:pStyle w:val="10"/>
                    <w:jc w:val="both"/>
                    <w:rPr>
                      <w:rFonts w:hint="default" w:ascii="Times New Roman" w:hAnsi="Times New Roman" w:cs="Times New Roman"/>
                    </w:rPr>
                  </w:pPr>
                  <w:r>
                    <w:rPr>
                      <w:rFonts w:hint="default" w:ascii="Times New Roman" w:hAnsi="Times New Roman" w:eastAsia="仿宋_GB2312" w:cs="Times New Roman"/>
                      <w:sz w:val="21"/>
                    </w:rPr>
                    <w:t>每低1%扣1分，扣完为止。</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B48DA">
                  <w:pPr>
                    <w:pStyle w:val="10"/>
                    <w:jc w:val="both"/>
                    <w:rPr>
                      <w:rFonts w:hint="default" w:ascii="Times New Roman" w:hAnsi="Times New Roman" w:cs="Times New Roman"/>
                    </w:rPr>
                  </w:pPr>
                </w:p>
              </w:tc>
            </w:tr>
            <w:tr w14:paraId="195A80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73B4A">
                  <w:pPr>
                    <w:pStyle w:val="10"/>
                    <w:jc w:val="center"/>
                    <w:rPr>
                      <w:rFonts w:hint="default" w:ascii="Times New Roman" w:hAnsi="Times New Roman" w:cs="Times New Roman"/>
                    </w:rPr>
                  </w:pPr>
                  <w:r>
                    <w:rPr>
                      <w:rFonts w:hint="default" w:ascii="Times New Roman" w:hAnsi="Times New Roman" w:eastAsia="仿宋_GB2312" w:cs="Times New Roman"/>
                      <w:sz w:val="21"/>
                    </w:rPr>
                    <w:t>5</w:t>
                  </w:r>
                </w:p>
              </w:tc>
              <w:tc>
                <w:tcPr>
                  <w:tcW w:w="3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44626E">
                  <w:pPr>
                    <w:pStyle w:val="10"/>
                    <w:jc w:val="both"/>
                    <w:rPr>
                      <w:rFonts w:hint="default" w:ascii="Times New Roman" w:hAnsi="Times New Roman" w:cs="Times New Roman"/>
                    </w:rPr>
                  </w:pPr>
                  <w:r>
                    <w:rPr>
                      <w:rFonts w:hint="default" w:ascii="Times New Roman" w:hAnsi="Times New Roman" w:eastAsia="仿宋_GB2312" w:cs="Times New Roman"/>
                      <w:sz w:val="21"/>
                    </w:rPr>
                    <w:t>根据本项目制定日数据分析报告。</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33A21">
                  <w:pPr>
                    <w:pStyle w:val="10"/>
                    <w:jc w:val="both"/>
                    <w:rPr>
                      <w:rFonts w:hint="default" w:ascii="Times New Roman" w:hAnsi="Times New Roman" w:cs="Times New Roman"/>
                    </w:rPr>
                  </w:pPr>
                  <w:r>
                    <w:rPr>
                      <w:rFonts w:hint="default" w:ascii="Times New Roman" w:hAnsi="Times New Roman" w:eastAsia="仿宋_GB2312" w:cs="Times New Roman"/>
                      <w:sz w:val="21"/>
                    </w:rPr>
                    <w:t>每缺一份报告扣1分。</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8B335">
                  <w:pPr>
                    <w:pStyle w:val="10"/>
                    <w:jc w:val="both"/>
                    <w:rPr>
                      <w:rFonts w:hint="default" w:ascii="Times New Roman" w:hAnsi="Times New Roman" w:cs="Times New Roman"/>
                    </w:rPr>
                  </w:pPr>
                </w:p>
              </w:tc>
            </w:tr>
            <w:tr w14:paraId="1AECBA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B57E72">
                  <w:pPr>
                    <w:pStyle w:val="10"/>
                    <w:jc w:val="center"/>
                    <w:rPr>
                      <w:rFonts w:hint="default" w:ascii="Times New Roman" w:hAnsi="Times New Roman" w:cs="Times New Roman"/>
                    </w:rPr>
                  </w:pPr>
                  <w:r>
                    <w:rPr>
                      <w:rFonts w:hint="default" w:ascii="Times New Roman" w:hAnsi="Times New Roman" w:eastAsia="仿宋_GB2312" w:cs="Times New Roman"/>
                      <w:sz w:val="21"/>
                    </w:rPr>
                    <w:t>6</w:t>
                  </w:r>
                </w:p>
              </w:tc>
              <w:tc>
                <w:tcPr>
                  <w:tcW w:w="3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DA525">
                  <w:pPr>
                    <w:pStyle w:val="10"/>
                    <w:jc w:val="both"/>
                    <w:rPr>
                      <w:rFonts w:hint="default" w:ascii="Times New Roman" w:hAnsi="Times New Roman" w:cs="Times New Roman"/>
                    </w:rPr>
                  </w:pPr>
                  <w:r>
                    <w:rPr>
                      <w:rFonts w:hint="default" w:ascii="Times New Roman" w:hAnsi="Times New Roman" w:eastAsia="仿宋_GB2312" w:cs="Times New Roman"/>
                      <w:sz w:val="21"/>
                    </w:rPr>
                    <w:t>根据本项目制定月数据分析报告。</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05C560">
                  <w:pPr>
                    <w:pStyle w:val="10"/>
                    <w:jc w:val="both"/>
                    <w:rPr>
                      <w:rFonts w:hint="default" w:ascii="Times New Roman" w:hAnsi="Times New Roman" w:cs="Times New Roman"/>
                    </w:rPr>
                  </w:pPr>
                  <w:r>
                    <w:rPr>
                      <w:rFonts w:hint="default" w:ascii="Times New Roman" w:hAnsi="Times New Roman" w:eastAsia="仿宋_GB2312" w:cs="Times New Roman"/>
                      <w:sz w:val="21"/>
                    </w:rPr>
                    <w:t>每缺一份报告扣5分。</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3404E">
                  <w:pPr>
                    <w:pStyle w:val="10"/>
                    <w:jc w:val="both"/>
                    <w:rPr>
                      <w:rFonts w:hint="default" w:ascii="Times New Roman" w:hAnsi="Times New Roman" w:cs="Times New Roman"/>
                    </w:rPr>
                  </w:pPr>
                </w:p>
              </w:tc>
            </w:tr>
            <w:tr w14:paraId="718031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5F714">
                  <w:pPr>
                    <w:pStyle w:val="10"/>
                    <w:jc w:val="center"/>
                    <w:rPr>
                      <w:rFonts w:hint="default" w:ascii="Times New Roman" w:hAnsi="Times New Roman" w:cs="Times New Roman"/>
                    </w:rPr>
                  </w:pPr>
                  <w:r>
                    <w:rPr>
                      <w:rFonts w:hint="default" w:ascii="Times New Roman" w:hAnsi="Times New Roman" w:eastAsia="仿宋_GB2312" w:cs="Times New Roman"/>
                      <w:sz w:val="21"/>
                    </w:rPr>
                    <w:t>7</w:t>
                  </w:r>
                </w:p>
              </w:tc>
              <w:tc>
                <w:tcPr>
                  <w:tcW w:w="3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9FFDB">
                  <w:pPr>
                    <w:pStyle w:val="10"/>
                    <w:jc w:val="both"/>
                    <w:rPr>
                      <w:rFonts w:hint="default" w:ascii="Times New Roman" w:hAnsi="Times New Roman" w:cs="Times New Roman"/>
                    </w:rPr>
                  </w:pPr>
                  <w:r>
                    <w:rPr>
                      <w:rFonts w:hint="default" w:ascii="Times New Roman" w:hAnsi="Times New Roman" w:eastAsia="仿宋_GB2312" w:cs="Times New Roman"/>
                      <w:sz w:val="21"/>
                    </w:rPr>
                    <w:t>根据本项目制定半年度（年度）数据分析报告。</w:t>
                  </w:r>
                  <w:bookmarkStart w:id="0" w:name="_GoBack"/>
                  <w:bookmarkEnd w:id="0"/>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9196C">
                  <w:pPr>
                    <w:pStyle w:val="10"/>
                    <w:jc w:val="both"/>
                    <w:rPr>
                      <w:rFonts w:hint="default" w:ascii="Times New Roman" w:hAnsi="Times New Roman" w:cs="Times New Roman"/>
                    </w:rPr>
                  </w:pPr>
                  <w:r>
                    <w:rPr>
                      <w:rFonts w:hint="default" w:ascii="Times New Roman" w:hAnsi="Times New Roman" w:eastAsia="仿宋_GB2312" w:cs="Times New Roman"/>
                      <w:sz w:val="21"/>
                    </w:rPr>
                    <w:t>每缺一份报告扣20分。</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3EB4D">
                  <w:pPr>
                    <w:pStyle w:val="10"/>
                    <w:jc w:val="both"/>
                    <w:rPr>
                      <w:rFonts w:hint="default" w:ascii="Times New Roman" w:hAnsi="Times New Roman" w:cs="Times New Roman"/>
                    </w:rPr>
                  </w:pPr>
                </w:p>
              </w:tc>
            </w:tr>
            <w:tr w14:paraId="469780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D8D7E4">
                  <w:pPr>
                    <w:pStyle w:val="10"/>
                    <w:jc w:val="center"/>
                    <w:rPr>
                      <w:rFonts w:hint="default" w:ascii="Times New Roman" w:hAnsi="Times New Roman" w:cs="Times New Roman"/>
                    </w:rPr>
                  </w:pPr>
                  <w:r>
                    <w:rPr>
                      <w:rFonts w:hint="default" w:ascii="Times New Roman" w:hAnsi="Times New Roman" w:eastAsia="仿宋_GB2312" w:cs="Times New Roman"/>
                      <w:sz w:val="21"/>
                    </w:rPr>
                    <w:t>8</w:t>
                  </w:r>
                </w:p>
              </w:tc>
              <w:tc>
                <w:tcPr>
                  <w:tcW w:w="3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E3F657">
                  <w:pPr>
                    <w:pStyle w:val="10"/>
                    <w:jc w:val="both"/>
                    <w:rPr>
                      <w:rFonts w:hint="default" w:ascii="Times New Roman" w:hAnsi="Times New Roman" w:cs="Times New Roman"/>
                    </w:rPr>
                  </w:pPr>
                  <w:r>
                    <w:rPr>
                      <w:rFonts w:hint="default" w:ascii="Times New Roman" w:hAnsi="Times New Roman" w:eastAsia="仿宋_GB2312" w:cs="Times New Roman"/>
                      <w:sz w:val="21"/>
                    </w:rPr>
                    <w:t>根据采购人要求提供其他定制化数据分析报告。</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9F30BB">
                  <w:pPr>
                    <w:pStyle w:val="10"/>
                    <w:jc w:val="both"/>
                    <w:rPr>
                      <w:rFonts w:hint="default" w:ascii="Times New Roman" w:hAnsi="Times New Roman" w:cs="Times New Roman"/>
                    </w:rPr>
                  </w:pPr>
                  <w:r>
                    <w:rPr>
                      <w:rFonts w:hint="default" w:ascii="Times New Roman" w:hAnsi="Times New Roman" w:eastAsia="仿宋_GB2312" w:cs="Times New Roman"/>
                      <w:sz w:val="21"/>
                    </w:rPr>
                    <w:t>每缺一份报告扣3分。</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D183B">
                  <w:pPr>
                    <w:pStyle w:val="10"/>
                    <w:jc w:val="both"/>
                    <w:rPr>
                      <w:rFonts w:hint="default" w:ascii="Times New Roman" w:hAnsi="Times New Roman" w:cs="Times New Roman"/>
                    </w:rPr>
                  </w:pPr>
                </w:p>
              </w:tc>
            </w:tr>
            <w:tr w14:paraId="66092D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E7536">
                  <w:pPr>
                    <w:pStyle w:val="10"/>
                    <w:jc w:val="left"/>
                    <w:rPr>
                      <w:rFonts w:hint="default" w:ascii="Times New Roman" w:hAnsi="Times New Roman" w:cs="Times New Roman"/>
                    </w:rPr>
                  </w:pPr>
                  <w:r>
                    <w:rPr>
                      <w:rFonts w:hint="default" w:ascii="Times New Roman" w:hAnsi="Times New Roman" w:eastAsia="仿宋_GB2312" w:cs="Times New Roman"/>
                      <w:sz w:val="21"/>
                    </w:rPr>
                    <w:t>成交供应商考核得分：</w:t>
                  </w:r>
                </w:p>
              </w:tc>
            </w:tr>
            <w:tr w14:paraId="0D90EA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FFD6F">
                  <w:pPr>
                    <w:pStyle w:val="10"/>
                    <w:ind w:firstLine="210"/>
                    <w:jc w:val="left"/>
                    <w:rPr>
                      <w:rFonts w:hint="default" w:ascii="Times New Roman" w:hAnsi="Times New Roman" w:cs="Times New Roman"/>
                    </w:rPr>
                  </w:pPr>
                  <w:r>
                    <w:rPr>
                      <w:rFonts w:hint="default" w:ascii="Times New Roman" w:hAnsi="Times New Roman" w:eastAsia="仿宋_GB2312" w:cs="Times New Roman"/>
                      <w:sz w:val="21"/>
                    </w:rPr>
                    <w:t>说明：考核评分总分为100分，采购人按照考核内容及细则，依据评分标准，结合扣分值计算出考核得分。</w:t>
                  </w:r>
                </w:p>
              </w:tc>
            </w:tr>
          </w:tbl>
          <w:p w14:paraId="736450D0">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6、保险：供应商应按照本地相关标准给所有工作人员购买社会保险，工作人员在合同履行地发生意外伤害，均由成交供应商负责。</w:t>
            </w:r>
          </w:p>
          <w:p w14:paraId="19F194CD">
            <w:pPr>
              <w:numPr>
                <w:ilvl w:val="0"/>
                <w:numId w:val="0"/>
              </w:numPr>
              <w:overflowPunct w:val="0"/>
              <w:topLinePunct/>
              <w:spacing w:line="240" w:lineRule="auto"/>
              <w:ind w:firstLine="444"/>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7、违约责任与解决争议</w:t>
            </w:r>
          </w:p>
          <w:p w14:paraId="3C3E9557">
            <w:pPr>
              <w:numPr>
                <w:ilvl w:val="0"/>
                <w:numId w:val="0"/>
              </w:numPr>
              <w:overflowPunct w:val="0"/>
              <w:topLinePunct/>
              <w:spacing w:line="240" w:lineRule="auto"/>
              <w:jc w:val="both"/>
              <w:rPr>
                <w:rFonts w:hint="default" w:ascii="Times New Roman" w:hAnsi="Times New Roman" w:eastAsia="方正仿宋_GBK" w:cs="Times New Roman"/>
                <w:b w:val="0"/>
                <w:bCs w:val="0"/>
                <w:sz w:val="24"/>
                <w:szCs w:val="24"/>
                <w:vertAlign w:val="baseline"/>
                <w:lang w:val="en-US" w:eastAsia="zh-CN"/>
              </w:rPr>
            </w:pP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1</w:t>
            </w: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双方签订合同后，必须遵守合同并执行合同中的各项规定，保证合同的正常履行。</w:t>
            </w:r>
          </w:p>
          <w:p w14:paraId="35EDD355">
            <w:pPr>
              <w:numPr>
                <w:ilvl w:val="0"/>
                <w:numId w:val="0"/>
              </w:numPr>
              <w:overflowPunct w:val="0"/>
              <w:topLinePunct/>
              <w:spacing w:line="240" w:lineRule="auto"/>
              <w:jc w:val="both"/>
              <w:rPr>
                <w:rFonts w:hint="default" w:ascii="Times New Roman" w:hAnsi="Times New Roman" w:eastAsia="方正仿宋_GBK" w:cs="Times New Roman"/>
                <w:b w:val="0"/>
                <w:bCs w:val="0"/>
                <w:sz w:val="24"/>
                <w:szCs w:val="24"/>
                <w:vertAlign w:val="baseline"/>
                <w:lang w:val="en-US" w:eastAsia="zh-CN"/>
              </w:rPr>
            </w:pP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2</w:t>
            </w: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4AA4CC89">
            <w:pPr>
              <w:numPr>
                <w:ilvl w:val="0"/>
                <w:numId w:val="0"/>
              </w:numPr>
              <w:overflowPunct w:val="0"/>
              <w:topLinePunct/>
              <w:spacing w:line="240" w:lineRule="auto"/>
              <w:jc w:val="both"/>
              <w:rPr>
                <w:rFonts w:hint="default" w:ascii="Times New Roman" w:hAnsi="Times New Roman" w:eastAsia="方正仿宋_GBK" w:cs="Times New Roman"/>
                <w:b w:val="0"/>
                <w:bCs w:val="0"/>
                <w:sz w:val="24"/>
                <w:szCs w:val="24"/>
                <w:vertAlign w:val="baseline"/>
                <w:lang w:val="en-US" w:eastAsia="zh-CN"/>
              </w:rPr>
            </w:pP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3</w:t>
            </w: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因供应商提供的技术服务成果错误或失误引起其他法律纠纷的，由供应商负责，若造成采购人先行垫付的，采购人有权向供应商追偿。</w:t>
            </w:r>
          </w:p>
          <w:p w14:paraId="5849FE25">
            <w:pPr>
              <w:numPr>
                <w:ilvl w:val="0"/>
                <w:numId w:val="0"/>
              </w:numPr>
              <w:overflowPunct w:val="0"/>
              <w:topLinePunct/>
              <w:spacing w:line="240" w:lineRule="auto"/>
              <w:jc w:val="both"/>
              <w:rPr>
                <w:rFonts w:hint="default" w:ascii="Times New Roman" w:hAnsi="Times New Roman" w:eastAsia="方正仿宋_GBK" w:cs="Times New Roman"/>
                <w:b w:val="0"/>
                <w:bCs w:val="0"/>
                <w:sz w:val="24"/>
                <w:szCs w:val="24"/>
                <w:vertAlign w:val="baseline"/>
                <w:lang w:val="en-US" w:eastAsia="zh-CN"/>
              </w:rPr>
            </w:pP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4</w:t>
            </w: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供应商未经采购人书面同意，不得擅自分包、转包，否则采购人有权立即终止合同，并要求供应商停止分包、转包行为，同时有权要求供应商承担合同总金额10%的违约金。</w:t>
            </w:r>
          </w:p>
          <w:p w14:paraId="6CDCD6C7">
            <w:pPr>
              <w:numPr>
                <w:ilvl w:val="0"/>
                <w:numId w:val="0"/>
              </w:numPr>
              <w:overflowPunct w:val="0"/>
              <w:topLinePunct/>
              <w:spacing w:line="240" w:lineRule="auto"/>
              <w:jc w:val="both"/>
              <w:rPr>
                <w:rFonts w:hint="default" w:ascii="Times New Roman" w:hAnsi="Times New Roman" w:eastAsia="方正仿宋_GBK" w:cs="Times New Roman"/>
                <w:b w:val="0"/>
                <w:bCs w:val="0"/>
                <w:sz w:val="24"/>
                <w:szCs w:val="24"/>
                <w:vertAlign w:val="baseline"/>
                <w:lang w:val="en-US" w:eastAsia="zh-CN"/>
              </w:rPr>
            </w:pP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5</w:t>
            </w: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未经双方协商一致，供应商不得单方面变更、中止、解除或终止合同，否则，供应商应承担合同总金额  10%的违约金，并赔偿由此给采购人造成的全部损失。</w:t>
            </w:r>
          </w:p>
          <w:p w14:paraId="5FBA01F8">
            <w:pPr>
              <w:numPr>
                <w:ilvl w:val="0"/>
                <w:numId w:val="0"/>
              </w:numPr>
              <w:overflowPunct w:val="0"/>
              <w:topLinePunct/>
              <w:spacing w:line="240" w:lineRule="auto"/>
              <w:jc w:val="both"/>
              <w:rPr>
                <w:rFonts w:hint="default" w:ascii="Times New Roman" w:hAnsi="Times New Roman" w:eastAsia="方正仿宋_GBK" w:cs="Times New Roman"/>
                <w:b w:val="0"/>
                <w:bCs w:val="0"/>
                <w:sz w:val="24"/>
                <w:szCs w:val="24"/>
                <w:vertAlign w:val="baseline"/>
                <w:lang w:val="en-US" w:eastAsia="zh-CN"/>
              </w:rPr>
            </w:pP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6</w:t>
            </w: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合同签订生效后，若发现供应商在本项目中存在以虚假材料谋取中标或成交等违反政府采购法律法规的行为，采购人有权无条件解除合同并要求供应商退还相应费用及利息。</w:t>
            </w:r>
          </w:p>
          <w:p w14:paraId="7BC3AE08">
            <w:pPr>
              <w:numPr>
                <w:ilvl w:val="0"/>
                <w:numId w:val="0"/>
              </w:numPr>
              <w:overflowPunct w:val="0"/>
              <w:topLinePunct/>
              <w:spacing w:line="240" w:lineRule="auto"/>
              <w:jc w:val="both"/>
              <w:rPr>
                <w:rFonts w:hint="default" w:ascii="Times New Roman" w:hAnsi="Times New Roman" w:eastAsia="方正仿宋_GBK" w:cs="Times New Roman"/>
                <w:b w:val="0"/>
                <w:bCs w:val="0"/>
                <w:sz w:val="24"/>
                <w:szCs w:val="24"/>
                <w:vertAlign w:val="baseline"/>
                <w:lang w:val="en-US" w:eastAsia="zh-CN"/>
              </w:rPr>
            </w:pP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 xml:space="preserve">7 </w:t>
            </w: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供应商违反本项目合同约定的，应当按照本项目合同约定支付违约金，并赔偿由此给采购人造成的全部损失， 包括采购人因诉讼产生的律师费、诉讼费用、保全保险费、差旅费等费用。</w:t>
            </w:r>
          </w:p>
          <w:p w14:paraId="2DF4D33C">
            <w:pPr>
              <w:numPr>
                <w:ilvl w:val="0"/>
                <w:numId w:val="0"/>
              </w:numPr>
              <w:overflowPunct w:val="0"/>
              <w:topLinePunct/>
              <w:spacing w:line="240" w:lineRule="auto"/>
              <w:ind w:firstLine="468" w:firstLineChars="200"/>
              <w:jc w:val="both"/>
              <w:rPr>
                <w:rFonts w:hint="default" w:ascii="Times New Roman" w:hAnsi="Times New Roman" w:eastAsia="方正仿宋_GBK" w:cs="Times New Roman"/>
                <w:b w:val="0"/>
                <w:bCs w:val="0"/>
                <w:sz w:val="24"/>
                <w:szCs w:val="24"/>
                <w:vertAlign w:val="baseline"/>
                <w:lang w:val="en-US" w:eastAsia="zh-CN"/>
              </w:rPr>
            </w:pPr>
            <w:r>
              <w:rPr>
                <w:rFonts w:hint="eastAsia" w:ascii="Times New Roman" w:hAnsi="Times New Roman" w:eastAsia="方正仿宋_GBK" w:cs="Times New Roman"/>
                <w:b w:val="0"/>
                <w:bCs w:val="0"/>
                <w:sz w:val="24"/>
                <w:szCs w:val="24"/>
                <w:vertAlign w:val="baseline"/>
                <w:lang w:val="en-US" w:eastAsia="zh-CN"/>
              </w:rPr>
              <w:t>8、</w:t>
            </w:r>
            <w:r>
              <w:rPr>
                <w:rFonts w:hint="default" w:ascii="Times New Roman" w:hAnsi="Times New Roman" w:eastAsia="方正仿宋_GBK" w:cs="Times New Roman"/>
                <w:b w:val="0"/>
                <w:bCs w:val="0"/>
                <w:sz w:val="24"/>
                <w:szCs w:val="24"/>
                <w:vertAlign w:val="baseline"/>
                <w:lang w:val="en-US" w:eastAsia="zh-CN"/>
              </w:rPr>
              <w:t>争议解决办法</w:t>
            </w:r>
          </w:p>
          <w:p w14:paraId="2FDAC6E4">
            <w:pPr>
              <w:numPr>
                <w:ilvl w:val="0"/>
                <w:numId w:val="0"/>
              </w:numPr>
              <w:overflowPunct w:val="0"/>
              <w:topLinePunct/>
              <w:spacing w:line="240" w:lineRule="auto"/>
              <w:jc w:val="both"/>
              <w:rPr>
                <w:rFonts w:hint="default" w:ascii="Times New Roman" w:hAnsi="Times New Roman" w:eastAsia="方正仿宋_GBK" w:cs="Times New Roman"/>
                <w:b w:val="0"/>
                <w:bCs w:val="0"/>
                <w:sz w:val="24"/>
                <w:szCs w:val="24"/>
                <w:vertAlign w:val="baseline"/>
                <w:lang w:val="en-US" w:eastAsia="zh-CN"/>
              </w:rPr>
            </w:pP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1</w:t>
            </w: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采购人及供应商双方就采购合同所产生的任何争议都应该进行友好协商，协商解决不成的，任何一方均可向项目所在地仲裁委员会申请仲裁。</w:t>
            </w:r>
          </w:p>
          <w:p w14:paraId="0D2AEE06">
            <w:pPr>
              <w:numPr>
                <w:ilvl w:val="0"/>
                <w:numId w:val="0"/>
              </w:numPr>
              <w:overflowPunct w:val="0"/>
              <w:topLinePunct/>
              <w:spacing w:line="240" w:lineRule="auto"/>
              <w:jc w:val="both"/>
              <w:rPr>
                <w:rFonts w:hint="default" w:ascii="Times New Roman" w:hAnsi="Times New Roman" w:eastAsia="方正仿宋_GBK" w:cs="Times New Roman"/>
                <w:b w:val="0"/>
                <w:bCs w:val="0"/>
                <w:sz w:val="24"/>
                <w:szCs w:val="24"/>
                <w:vertAlign w:val="baseline"/>
                <w:lang w:val="en-US" w:eastAsia="zh-CN"/>
              </w:rPr>
            </w:pP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2</w:t>
            </w: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仲裁费应由败诉方承担。</w:t>
            </w:r>
          </w:p>
          <w:p w14:paraId="756B4FC9">
            <w:pPr>
              <w:numPr>
                <w:ilvl w:val="0"/>
                <w:numId w:val="0"/>
              </w:numPr>
              <w:overflowPunct w:val="0"/>
              <w:topLinePunct/>
              <w:spacing w:line="240" w:lineRule="auto"/>
              <w:jc w:val="both"/>
              <w:rPr>
                <w:rFonts w:hint="default" w:ascii="Times New Roman" w:hAnsi="Times New Roman" w:eastAsia="方正仿宋_GBK" w:cs="Times New Roman"/>
                <w:b w:val="0"/>
                <w:bCs w:val="0"/>
                <w:sz w:val="24"/>
                <w:szCs w:val="24"/>
                <w:vertAlign w:val="baseline"/>
                <w:lang w:val="en-US" w:eastAsia="zh-CN"/>
              </w:rPr>
            </w:pP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3</w:t>
            </w:r>
            <w:r>
              <w:rPr>
                <w:rFonts w:hint="eastAsia" w:ascii="Times New Roman" w:hAnsi="Times New Roman" w:eastAsia="方正仿宋_GBK" w:cs="Times New Roman"/>
                <w:b w:val="0"/>
                <w:bCs w:val="0"/>
                <w:sz w:val="24"/>
                <w:szCs w:val="24"/>
                <w:vertAlign w:val="baseline"/>
                <w:lang w:val="en-US" w:eastAsia="zh-CN"/>
              </w:rPr>
              <w:t>）</w:t>
            </w:r>
            <w:r>
              <w:rPr>
                <w:rFonts w:hint="default" w:ascii="Times New Roman" w:hAnsi="Times New Roman" w:eastAsia="方正仿宋_GBK" w:cs="Times New Roman"/>
                <w:b w:val="0"/>
                <w:bCs w:val="0"/>
                <w:sz w:val="24"/>
                <w:szCs w:val="24"/>
                <w:vertAlign w:val="baseline"/>
                <w:lang w:val="en-US" w:eastAsia="zh-CN"/>
              </w:rPr>
              <w:t>在仲裁期间，除正在进行仲裁的部分外，合同其他部分继续执行。</w:t>
            </w:r>
          </w:p>
        </w:tc>
      </w:tr>
    </w:tbl>
    <w:p w14:paraId="6C095735">
      <w:pPr>
        <w:rPr>
          <w:rFonts w:hint="default" w:ascii="Times New Roman" w:hAnsi="Times New Roman" w:cs="Times New Roman"/>
        </w:rPr>
      </w:pPr>
    </w:p>
    <w:sectPr>
      <w:headerReference r:id="rId3" w:type="default"/>
      <w:footerReference r:id="rId4" w:type="default"/>
      <w:pgSz w:w="11906" w:h="16838"/>
      <w:pgMar w:top="1962" w:right="1474" w:bottom="1848" w:left="1587" w:header="851" w:footer="1049" w:gutter="0"/>
      <w:cols w:space="425" w:num="1"/>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GWZT-EN">
    <w:altName w:val="Noto Serif CJK JP"/>
    <w:panose1 w:val="02000000000000000000"/>
    <w:charset w:val="86"/>
    <w:family w:val="auto"/>
    <w:pitch w:val="default"/>
    <w:sig w:usb0="00000000" w:usb1="00000000" w:usb2="00000000" w:usb3="00000000" w:csb0="00140001" w:csb1="00000000"/>
  </w:font>
  <w:font w:name="Noto Serif CJK JP">
    <w:panose1 w:val="02020400000000000000"/>
    <w:charset w:val="86"/>
    <w:family w:val="auto"/>
    <w:pitch w:val="default"/>
    <w:sig w:usb0="30000083" w:usb1="2BDF3C10" w:usb2="00000016" w:usb3="00000000" w:csb0="602E0107"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B617">
    <w:pPr>
      <w:pStyle w:val="4"/>
      <w:spacing w:line="471" w:lineRule="auto"/>
      <w:rPr>
        <w:rFonts w:ascii="GWZT-EN"/>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21A3">
    <w:pPr>
      <w:pStyle w:val="5"/>
      <w:rPr>
        <w:rFonts w:ascii="GWZT-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24496"/>
    <w:multiLevelType w:val="singleLevel"/>
    <w:tmpl w:val="C6224496"/>
    <w:lvl w:ilvl="0" w:tentative="0">
      <w:start w:val="2"/>
      <w:numFmt w:val="chineseCounting"/>
      <w:suff w:val="nothing"/>
      <w:lvlText w:val="%1、"/>
      <w:lvlJc w:val="left"/>
      <w:rPr>
        <w:rFonts w:hint="eastAsia"/>
      </w:rPr>
    </w:lvl>
  </w:abstractNum>
  <w:abstractNum w:abstractNumId="1">
    <w:nsid w:val="FBFC596B"/>
    <w:multiLevelType w:val="singleLevel"/>
    <w:tmpl w:val="FBFC596B"/>
    <w:lvl w:ilvl="0" w:tentative="0">
      <w:start w:val="1"/>
      <w:numFmt w:val="decimal"/>
      <w:suff w:val="nothing"/>
      <w:lvlText w:val="%1、"/>
      <w:lvlJc w:val="left"/>
      <w:pPr>
        <w:ind w:left="555" w:leftChars="0" w:firstLine="0" w:firstLineChars="0"/>
      </w:pPr>
    </w:lvl>
  </w:abstractNum>
  <w:abstractNum w:abstractNumId="2">
    <w:nsid w:val="FC3D2C2B"/>
    <w:multiLevelType w:val="singleLevel"/>
    <w:tmpl w:val="FC3D2C2B"/>
    <w:lvl w:ilvl="0" w:tentative="0">
      <w:start w:val="1"/>
      <w:numFmt w:val="decimal"/>
      <w:suff w:val="nothing"/>
      <w:lvlText w:val="%1、"/>
      <w:lvlJc w:val="left"/>
    </w:lvl>
  </w:abstractNum>
  <w:abstractNum w:abstractNumId="3">
    <w:nsid w:val="399DEA3A"/>
    <w:multiLevelType w:val="singleLevel"/>
    <w:tmpl w:val="399DEA3A"/>
    <w:lvl w:ilvl="0" w:tentative="0">
      <w:start w:val="1"/>
      <w:numFmt w:val="decimal"/>
      <w:suff w:val="nothing"/>
      <w:lvlText w:val="%1、"/>
      <w:lvlJc w:val="left"/>
      <w:pPr>
        <w:ind w:left="503" w:leftChars="0" w:firstLine="0" w:firstLineChars="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F11CF"/>
    <w:rsid w:val="1D3D6FF2"/>
    <w:rsid w:val="1DAADCC6"/>
    <w:rsid w:val="37FF0EEC"/>
    <w:rsid w:val="46FF11CF"/>
    <w:rsid w:val="47C5879A"/>
    <w:rsid w:val="5EEFB80F"/>
    <w:rsid w:val="5FDDB205"/>
    <w:rsid w:val="65EB5843"/>
    <w:rsid w:val="6F930F7C"/>
    <w:rsid w:val="6FFF30B0"/>
    <w:rsid w:val="7BFF9AAF"/>
    <w:rsid w:val="7D2647EA"/>
    <w:rsid w:val="9F7FBB55"/>
    <w:rsid w:val="B14E26EA"/>
    <w:rsid w:val="B5747E1B"/>
    <w:rsid w:val="EBFF0C20"/>
    <w:rsid w:val="F9FB52E9"/>
    <w:rsid w:val="FBEB6727"/>
    <w:rsid w:val="FDF5EFF4"/>
    <w:rsid w:val="FF6F9426"/>
    <w:rsid w:val="FFB66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djustRightInd w:val="0"/>
      <w:jc w:val="both"/>
    </w:pPr>
    <w:rPr>
      <w:rFonts w:ascii="GWZT-EN" w:eastAsia="仿宋" w:cs="Times New Roman" w:hAnsiTheme="minorHAnsi"/>
      <w:spacing w:val="-6"/>
      <w:kern w:val="2"/>
      <w:sz w:val="32"/>
      <w:szCs w:val="32"/>
      <w:lang w:val="en-US" w:eastAsia="zh-CN" w:bidi="ar-SA"/>
    </w:rPr>
  </w:style>
  <w:style w:type="paragraph" w:styleId="3">
    <w:name w:val="heading 4"/>
    <w:basedOn w:val="1"/>
    <w:next w:val="1"/>
    <w:semiHidden/>
    <w:unhideWhenUsed/>
    <w:qFormat/>
    <w:uiPriority w:val="0"/>
    <w:pPr>
      <w:keepNext/>
      <w:keepLines/>
      <w:spacing w:beforeLines="0" w:beforeAutospacing="0" w:afterLines="0" w:afterAutospacing="0" w:line="360" w:lineRule="auto"/>
      <w:ind w:firstLine="0" w:firstLineChars="0"/>
      <w:outlineLvl w:val="3"/>
    </w:pPr>
    <w:rPr>
      <w:rFonts w:ascii="Arial" w:hAnsi="Arial" w:eastAsia="华文宋体" w:cs="Times New Roman"/>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pacing w:before="120" w:after="60" w:line="360" w:lineRule="auto"/>
      <w:ind w:right="-425" w:firstLine="200" w:firstLineChars="200"/>
    </w:pPr>
    <w:rPr>
      <w:rFonts w:ascii="Arial" w:hAnsi="Arial"/>
      <w:color w:val="000000"/>
      <w:sz w:val="24"/>
      <w:szCs w:val="20"/>
    </w:rPr>
  </w:style>
  <w:style w:type="paragraph" w:styleId="4">
    <w:name w:val="footer"/>
    <w:basedOn w:val="1"/>
    <w:qFormat/>
    <w:uiPriority w:val="0"/>
    <w:pPr>
      <w:tabs>
        <w:tab w:val="center" w:pos="4153"/>
        <w:tab w:val="right" w:pos="8306"/>
      </w:tabs>
      <w:snapToGrid w:val="0"/>
      <w:jc w:val="left"/>
    </w:pPr>
    <w:rPr>
      <w:rFonts w:ascii="GWZT-EN"/>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 w:type="table" w:styleId="7">
    <w:name w:val="Table Grid"/>
    <w:basedOn w:val="6"/>
    <w:qFormat/>
    <w:uiPriority w:val="0"/>
    <w:pPr>
      <w:widowControl w:val="0"/>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居中"/>
    <w:basedOn w:val="1"/>
    <w:qFormat/>
    <w:uiPriority w:val="0"/>
    <w:pPr>
      <w:ind w:firstLine="0" w:firstLineChars="0"/>
      <w:jc w:val="center"/>
    </w:pPr>
    <w:rPr>
      <w:rFonts w:hint="eastAsia" w:ascii="方正小标宋简体" w:hAnsi="方正小标宋简体" w:eastAsia="方正小标宋简体" w:cs="方正小标宋简体"/>
      <w:sz w:val="28"/>
      <w:szCs w:val="28"/>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3225</Words>
  <Characters>3320</Characters>
  <Lines>0</Lines>
  <Paragraphs>0</Paragraphs>
  <TotalTime>2</TotalTime>
  <ScaleCrop>false</ScaleCrop>
  <LinksUpToDate>false</LinksUpToDate>
  <CharactersWithSpaces>3326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2026-06-05T07:50:00Z</dcterms:created>
  <dc:creator>Melody</dc:creator>
  <cp:lastModifiedBy>Transculent</cp:lastModifiedBy>
  <cp:lastPrinted>2026-06-08T16:07:50Z</cp:lastPrinted>
  <dcterms:modified xsi:type="dcterms:W3CDTF">2026-06-08T16:40:10Z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8E45605EB72D488E8E00ECE79CF308D5_11</vt:lpwstr>
  </property>
  <property fmtid="{D5CDD505-2E9C-101B-9397-08002B2CF9AE}" pid="4" name="KSOTemplateDocerSaveRecord">
    <vt:lpwstr>eyJoZGlkIjoiYjE2NmY4OTRhY2Q2Y2ZmYjBhOWVmOTY0ZDMwMmNjOWYiLCJ1c2VySWQiOiIyODAxOTA3NDgifQ==</vt:lpwstr>
  </property>
</Properties>
</file>